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480" w:lineRule="atLeast"/>
        <w:ind w:left="568" w:leftChars="270" w:right="651" w:rightChars="310" w:hanging="1"/>
        <w:jc w:val="center"/>
        <w:rPr>
          <w:rFonts w:ascii="微软雅黑" w:hAnsi="微软雅黑" w:eastAsia="微软雅黑"/>
          <w:b/>
          <w:bCs/>
          <w:color w:val="4B4B4B"/>
          <w:sz w:val="32"/>
          <w:szCs w:val="32"/>
        </w:rPr>
      </w:pPr>
      <w:r>
        <w:rPr>
          <w:rFonts w:hint="eastAsia" w:ascii="微软雅黑" w:hAnsi="微软雅黑" w:eastAsia="微软雅黑"/>
          <w:b/>
          <w:bCs/>
          <w:color w:val="4B4B4B"/>
          <w:sz w:val="32"/>
          <w:szCs w:val="32"/>
        </w:rPr>
        <w:t>教育部关于印发《普通高等学校本科教育教学审核评估实施方案（2021—2025年）》的通知</w:t>
      </w:r>
    </w:p>
    <w:p>
      <w:pPr>
        <w:pStyle w:val="8"/>
        <w:shd w:val="clear" w:color="auto" w:fill="FFFFFF"/>
        <w:spacing w:before="0" w:beforeAutospacing="0" w:after="0" w:afterAutospacing="0" w:line="480" w:lineRule="atLeast"/>
        <w:jc w:val="right"/>
        <w:rPr>
          <w:rFonts w:ascii="微软雅黑" w:hAnsi="微软雅黑" w:eastAsia="微软雅黑"/>
          <w:color w:val="4B4B4B"/>
        </w:rPr>
      </w:pPr>
      <w:r>
        <w:rPr>
          <w:rFonts w:hint="eastAsia" w:ascii="微软雅黑" w:hAnsi="微软雅黑" w:eastAsia="微软雅黑"/>
          <w:color w:val="4B4B4B"/>
        </w:rPr>
        <w:t>教督〔2021〕1号</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各省、自治区、直辖市教育厅（教委），新疆生产建设兵团教育局，有关部门（单位）教育司（局），部属各高等学校、部省合建各高等学校：</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pPr>
        <w:pStyle w:val="8"/>
        <w:shd w:val="clear" w:color="auto" w:fill="FFFFFF"/>
        <w:spacing w:before="0" w:beforeAutospacing="0" w:after="0" w:afterAutospacing="0" w:line="480" w:lineRule="atLeast"/>
        <w:jc w:val="right"/>
        <w:rPr>
          <w:rFonts w:ascii="微软雅黑" w:hAnsi="微软雅黑" w:eastAsia="微软雅黑"/>
          <w:color w:val="4B4B4B"/>
          <w:sz w:val="27"/>
          <w:szCs w:val="27"/>
        </w:rPr>
      </w:pPr>
      <w:r>
        <w:rPr>
          <w:rFonts w:hint="eastAsia" w:ascii="微软雅黑" w:hAnsi="微软雅黑" w:eastAsia="微软雅黑"/>
          <w:color w:val="4B4B4B"/>
          <w:sz w:val="27"/>
          <w:szCs w:val="27"/>
        </w:rPr>
        <w:t>教育部</w:t>
      </w:r>
    </w:p>
    <w:p>
      <w:pPr>
        <w:pStyle w:val="8"/>
        <w:shd w:val="clear" w:color="auto" w:fill="FFFFFF"/>
        <w:spacing w:before="0" w:beforeAutospacing="0" w:after="0" w:afterAutospacing="0" w:line="480" w:lineRule="atLeast"/>
        <w:jc w:val="right"/>
        <w:rPr>
          <w:rFonts w:ascii="微软雅黑" w:hAnsi="微软雅黑" w:eastAsia="微软雅黑"/>
          <w:color w:val="4B4B4B"/>
          <w:sz w:val="27"/>
          <w:szCs w:val="27"/>
        </w:rPr>
      </w:pPr>
      <w:r>
        <w:rPr>
          <w:rFonts w:hint="eastAsia" w:ascii="微软雅黑" w:hAnsi="微软雅黑" w:eastAsia="微软雅黑"/>
          <w:color w:val="4B4B4B"/>
          <w:sz w:val="27"/>
          <w:szCs w:val="27"/>
        </w:rPr>
        <w:t>2021年1月21日</w:t>
      </w:r>
    </w:p>
    <w:p>
      <w:pPr>
        <w:pStyle w:val="8"/>
        <w:shd w:val="clear" w:color="auto" w:fill="FFFFFF"/>
        <w:spacing w:before="0" w:beforeAutospacing="0" w:after="0" w:afterAutospacing="0" w:line="480" w:lineRule="atLeast"/>
        <w:jc w:val="right"/>
        <w:rPr>
          <w:rFonts w:ascii="微软雅黑" w:hAnsi="微软雅黑" w:eastAsia="微软雅黑"/>
          <w:color w:val="4B4B4B"/>
          <w:sz w:val="27"/>
          <w:szCs w:val="27"/>
        </w:rPr>
      </w:pPr>
    </w:p>
    <w:p>
      <w:pPr>
        <w:pStyle w:val="8"/>
        <w:shd w:val="clear" w:color="auto" w:fill="FFFFFF"/>
        <w:spacing w:before="0" w:beforeAutospacing="0" w:after="0" w:afterAutospacing="0" w:line="480" w:lineRule="atLeast"/>
        <w:jc w:val="center"/>
        <w:rPr>
          <w:rFonts w:ascii="微软雅黑" w:hAnsi="微软雅黑" w:eastAsia="微软雅黑"/>
          <w:color w:val="4B4B4B"/>
          <w:sz w:val="28"/>
          <w:szCs w:val="28"/>
        </w:rPr>
      </w:pPr>
      <w:r>
        <w:rPr>
          <w:rFonts w:hint="eastAsia" w:ascii="微软雅黑" w:hAnsi="微软雅黑" w:eastAsia="微软雅黑"/>
          <w:b/>
          <w:bCs/>
          <w:color w:val="4B4B4B"/>
          <w:sz w:val="28"/>
          <w:szCs w:val="28"/>
        </w:rPr>
        <w:t>普通高等学校本科教育教学审核评估实施方案（2021—2025年）</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一、指导思想</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二、基本原则</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（一）坚持立德树人。把牢社会主义办学方向，构建以立德树人成效为根本标准的评估体系，加强对学校办学方向、育人过程、学生发展、质量保障体系等方面的审核，引导高校构建“三全育人”格局。</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二）坚持推进改革。紧扣本科教育教学改革主线，落实“以本为本”“四个回归”，强化学生中心、产出导向、持续改进，以评估理念引领改革、以评估举措落实改革、以评估标准检验改革，实现高质量内涵式发展。</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（三）坚持分类指导。适应高等教育多样化发展需求，依据不同层次不同类型高校办学定位、培养目标、教育教学水平和质量保障体系建设情况，实施分类评价、精准评价，引导和激励高校各展所长、特色发展。</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四）坚持问题导向。建立“问题清单”，严把高校正确办学方向，落实本科人才培养底线要求，提出改进发展意见，强化评估结果使用和督导复查，推动高校落实主体责任、建立持续改进长效机制，培育践行高校质量文化。</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（五）坚持方法创新。综合运用互联网、大数据、人工智能等现代信息技术手段，深度挖掘常态监测数据，采取线上与入校结合、定性与定量结合、明察与暗访结合等方式，切实减轻高校负担，提高工作实效。</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三、评估对象、周期及分类</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一）评估对象和周期。经国家正式批准独立设置的普通本科高校均应参加审核评估，其中：新建普通本科高校应先参加普通高等学校本科教学工作合格评估，原则上获得“通过”结论5年后方可参加本轮审核评估。</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审核评估每5年一个周期，本轮审核评估时间为2021—2025年。</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四、评估程序</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审核评估程序包括评估申请、学校自评、专家评审、反馈结论、限期整改、督导复查。</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教育部普通高等学校本科教育教学评估专家委员会（以下简称教育部评估专家委员会）审议第一类审核评估参评高校。</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通过教育部认证（评估）并在有效期内的专业（课程），免于评估考察，切实减轻高校负担。</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五、组织管理</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教育部评估中心制订专家管理办法，建设全国统一、开放共享的专家库，建立专家组织推荐、专业培训、持证入库、随机遴选、异地选派及淘汰退出机制。</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审核评估经费由有关具体组织部门负责落实。</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r>
        <w:rPr>
          <w:rFonts w:hint="eastAsia" w:ascii="微软雅黑" w:hAnsi="微软雅黑" w:eastAsia="微软雅黑"/>
          <w:b/>
          <w:bCs/>
          <w:color w:val="4B4B4B"/>
          <w:sz w:val="27"/>
          <w:szCs w:val="27"/>
        </w:rPr>
        <w:t>六、纪律与监督</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pPr>
        <w:pStyle w:val="8"/>
        <w:shd w:val="clear" w:color="auto" w:fill="FFFFFF"/>
        <w:spacing w:before="0" w:beforeAutospacing="0" w:after="0" w:afterAutospacing="0" w:line="480" w:lineRule="atLeast"/>
        <w:rPr>
          <w:rFonts w:ascii="微软雅黑" w:hAnsi="微软雅黑" w:eastAsia="微软雅黑"/>
          <w:color w:val="4B4B4B"/>
          <w:sz w:val="27"/>
          <w:szCs w:val="27"/>
        </w:rPr>
      </w:pPr>
      <w:r>
        <w:rPr>
          <w:rFonts w:hint="eastAsia" w:ascii="微软雅黑" w:hAnsi="微软雅黑" w:eastAsia="微软雅黑"/>
          <w:color w:val="4B4B4B"/>
          <w:sz w:val="27"/>
          <w:szCs w:val="27"/>
        </w:rPr>
        <w:t>　　</w:t>
      </w:r>
    </w:p>
    <w:p>
      <w:pPr>
        <w:spacing w:before="156" w:beforeLines="50" w:after="156" w:afterLines="50" w:line="560" w:lineRule="exact"/>
        <w:jc w:val="left"/>
        <w:rPr>
          <w:rFonts w:ascii="Times New Roman" w:hAnsi="Times New Roman" w:eastAsia="黑体"/>
          <w:bCs/>
          <w:sz w:val="32"/>
          <w:szCs w:val="32"/>
        </w:rPr>
      </w:pPr>
      <w:r>
        <w:rPr>
          <w:rFonts w:hint="eastAsia" w:ascii="Times New Roman" w:hAnsi="Times New Roman" w:eastAsia="黑体"/>
          <w:bCs/>
          <w:sz w:val="32"/>
          <w:szCs w:val="32"/>
        </w:rPr>
        <w:t>附件</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普通高等学校本科教育教学审核评估</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10"/>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blHeader/>
          <w:jc w:val="center"/>
        </w:trPr>
        <w:tc>
          <w:tcPr>
            <w:tcW w:w="1253"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【必选】实践教学学分占总学分（学时）比例（人文社科类专业≥15%，理工农医类专业≥25%）</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【必选】以实验、实习、工程实践和社会调查等实践性工作为基础的</w:t>
            </w:r>
            <w:r>
              <w:rPr>
                <w:rFonts w:ascii="Times New Roman" w:hAnsi="Times New Roman" w:cs="Times New Roman"/>
                <w:szCs w:val="21"/>
              </w:rPr>
              <w:t>毕业</w:t>
            </w:r>
            <w:r>
              <w:rPr>
                <w:rFonts w:hint="eastAsia" w:ascii="Times New Roman" w:hAnsi="Times New Roman" w:cs="Times New Roman"/>
                <w:szCs w:val="21"/>
              </w:rPr>
              <w:t>论文（设计）比例≥50%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【可选】本科生参加各级各类创新创业实践活动人数及比例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【可选】“互联网+”大学生创新创业大赛获奖数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pPr>
        <w:spacing w:line="300" w:lineRule="exact"/>
        <w:rPr>
          <w:rFonts w:ascii="Times New Roman" w:hAnsi="Times New Roman" w:cs="Times New Roman"/>
          <w:b/>
          <w:sz w:val="24"/>
          <w:szCs w:val="24"/>
          <w:lang w:val="zh-TW"/>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该定量指标学校可结合办学实际和优势特色，从高等教育质量监测国家数据平台提供的教学基本状态常态监测数据中自主选择，进行等量或超量替换。</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hint="eastAsia"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w:t>
      </w:r>
      <w:r>
        <w:rPr>
          <w:rFonts w:hint="eastAsia" w:ascii="Times New Roman" w:hAnsi="Times New Roman" w:cs="宋体"/>
          <w:kern w:val="0"/>
          <w:szCs w:val="21"/>
        </w:rPr>
        <w:t>；其中：本校专任教师须承担教学任务且人事关系在本校（原则上须连续6个月缴纳人员养老险等社保或人员档案在本校）；校外教师须承担本校教学任务、有聘用合同和劳务费发放记录</w:t>
      </w:r>
      <w:r>
        <w:rPr>
          <w:rFonts w:hint="eastAsia" w:ascii="Times New Roman" w:hAnsi="Times New Roman" w:cs="宋体"/>
          <w:kern w:val="0"/>
          <w:szCs w:val="21"/>
        </w:rPr>
        <w:t>，聘请校外教师折算数（本学年聘请校外教</w:t>
      </w:r>
      <w:bookmarkStart w:id="1" w:name="_GoBack"/>
      <w:bookmarkEnd w:id="1"/>
      <w:r>
        <w:rPr>
          <w:rFonts w:hint="eastAsia" w:ascii="Times New Roman" w:hAnsi="Times New Roman" w:cs="宋体"/>
          <w:kern w:val="0"/>
          <w:szCs w:val="21"/>
        </w:rPr>
        <w:t>师数*0.5）不超过专任教师总数的四分之一；临床教师须承担教学任务且人事关系在本校或直属附属医院</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 xml:space="preserve">4. </w:t>
      </w:r>
      <w:r>
        <w:rPr>
          <w:rFonts w:hint="eastAsia" w:ascii="Times New Roman" w:hAnsi="Times New Roman" w:cs="宋体"/>
          <w:kern w:val="0"/>
          <w:szCs w:val="21"/>
        </w:rPr>
        <w:t>生均年教学日常运行支出=教学日常运行支出/</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w:t>
      </w:r>
      <w:r>
        <w:rPr>
          <w:rFonts w:hint="eastAsia" w:ascii="Times New Roman" w:hAnsi="Times New Roman" w:cs="宋体"/>
          <w:kern w:val="0"/>
          <w:szCs w:val="21"/>
        </w:rPr>
        <w:t>：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r>
        <w:rPr>
          <w:rFonts w:ascii="Times New Roman" w:hAnsi="Times New Roman" w:eastAsia="仿宋_GB2312"/>
          <w:sz w:val="28"/>
          <w:szCs w:val="28"/>
        </w:rPr>
        <w:br w:type="page"/>
      </w:r>
    </w:p>
    <w:p>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10"/>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毕业论文（</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）选题来自教师专业实践、科研课题情况及完成质量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3ZTc0Y2E2ZmE2ZDNhZTJlZTU0NGIxOTI4MzY0MjgifQ=="/>
  </w:docVars>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C3B2E"/>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1FC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A36"/>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0E8C"/>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0701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C0E03"/>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561A"/>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37973"/>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01956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Date"/>
    <w:basedOn w:val="1"/>
    <w:next w:val="1"/>
    <w:link w:val="25"/>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uiPriority w:val="99"/>
    <w:rPr>
      <w:sz w:val="18"/>
      <w:szCs w:val="18"/>
    </w:rPr>
  </w:style>
  <w:style w:type="character" w:customStyle="1" w:styleId="16">
    <w:name w:val="页脚 Char"/>
    <w:basedOn w:val="12"/>
    <w:link w:val="6"/>
    <w:qFormat/>
    <w:uiPriority w:val="99"/>
    <w:rPr>
      <w:sz w:val="18"/>
      <w:szCs w:val="18"/>
    </w:rPr>
  </w:style>
  <w:style w:type="table" w:customStyle="1" w:styleId="17">
    <w:name w:val="网格型1"/>
    <w:basedOn w:val="10"/>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10"/>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框文本 Char"/>
    <w:basedOn w:val="12"/>
    <w:link w:val="5"/>
    <w:semiHidden/>
    <w:qFormat/>
    <w:uiPriority w:val="99"/>
    <w:rPr>
      <w:sz w:val="18"/>
      <w:szCs w:val="18"/>
    </w:rPr>
  </w:style>
  <w:style w:type="character" w:customStyle="1" w:styleId="20">
    <w:name w:val="批注文字 Char"/>
    <w:basedOn w:val="12"/>
    <w:link w:val="3"/>
    <w:semiHidden/>
    <w:qFormat/>
    <w:uiPriority w:val="99"/>
  </w:style>
  <w:style w:type="character" w:customStyle="1" w:styleId="21">
    <w:name w:val="批注主题 Char"/>
    <w:basedOn w:val="20"/>
    <w:link w:val="9"/>
    <w:semiHidden/>
    <w:qFormat/>
    <w:uiPriority w:val="99"/>
    <w:rPr>
      <w:b/>
      <w:bCs/>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1 Char"/>
    <w:basedOn w:val="12"/>
    <w:link w:val="2"/>
    <w:qFormat/>
    <w:uiPriority w:val="9"/>
    <w:rPr>
      <w:rFonts w:ascii="宋体" w:hAnsi="宋体" w:eastAsia="黑体" w:cs="宋体"/>
      <w:b/>
      <w:bCs/>
      <w:kern w:val="36"/>
      <w:sz w:val="32"/>
      <w:szCs w:val="48"/>
    </w:rPr>
  </w:style>
  <w:style w:type="paragraph" w:styleId="24">
    <w:name w:val="List Paragraph"/>
    <w:basedOn w:val="1"/>
    <w:qFormat/>
    <w:uiPriority w:val="34"/>
    <w:pPr>
      <w:ind w:firstLine="420" w:firstLineChars="200"/>
    </w:pPr>
  </w:style>
  <w:style w:type="character" w:customStyle="1" w:styleId="25">
    <w:name w:val="日期 Char"/>
    <w:basedOn w:val="12"/>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5864-BF9C-4B7C-8776-DCA094F19EF7}">
  <ds:schemaRefs/>
</ds:datastoreItem>
</file>

<file path=docProps/app.xml><?xml version="1.0" encoding="utf-8"?>
<Properties xmlns="http://schemas.openxmlformats.org/officeDocument/2006/extended-properties" xmlns:vt="http://schemas.openxmlformats.org/officeDocument/2006/docPropsVTypes">
  <Template>Normal</Template>
  <Pages>17</Pages>
  <Words>12682</Words>
  <Characters>13555</Characters>
  <Lines>102</Lines>
  <Paragraphs>28</Paragraphs>
  <TotalTime>0</TotalTime>
  <ScaleCrop>false</ScaleCrop>
  <LinksUpToDate>false</LinksUpToDate>
  <CharactersWithSpaces>13794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2022-01-17T03:16:00Z</dcterms:created>
  <dc:creator>duo duo</dc:creator>
  <cp:lastModifiedBy>lint</cp:lastModifiedBy>
  <cp:lastPrinted>2021-01-27T06:26:00Z</cp:lastPrinted>
  <dcterms:modified xsi:type="dcterms:W3CDTF">2023-04-18T09:20:16Z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3AE48512FB2942C9ADD274E0F635C64D_12</vt:lpwstr>
  </property>
</Properties>
</file>