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2F0D9" w:themeColor="accent6" w:themeTint="33"/>
  <w:body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院系（教研室）操作手册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instrText xml:space="preserve"> HYPERLINK "http://www.changxianggu.com" </w:instrTex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www.changxianggu.com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fldChar w:fldCharType="end"/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numPr>
          <w:ilvl w:val="0"/>
          <w:numId w:val="0"/>
        </w:numPr>
        <w:jc w:val="center"/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32"/>
          <w:lang w:val="en-US" w:eastAsia="zh-CN"/>
        </w:rPr>
        <w:t>建议您使用谷歌、火狐浏览器，因兼容问题尽量避免使用IE浏览器。</w:t>
      </w:r>
    </w:p>
    <w:p>
      <w:pPr>
        <w:numPr>
          <w:ilvl w:val="0"/>
          <w:numId w:val="1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bookmarkStart w:id="0" w:name="_Toc12618_WPSOffice_Level2"/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登陆平台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院系（教研室）账号由教务处提供，首次登陆默认密码为123456。登陆窗口为“管理端”。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二、教材审核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教材管理——教材审核</w:t>
      </w:r>
      <w:bookmarkEnd w:id="0"/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5262245" cy="2390140"/>
            <wp:effectExtent l="0" t="0" r="1460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说明：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（1）院系（教研室）只能看到本院（教研室）承担的课程，不能看到其他的院系（教研室）承担的课程。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（2）审核上下级层级的关系为：教务处——院系——教研室，三级审核，上级权利大于下级。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（3）教材名称为</w:t>
      </w:r>
      <w:r>
        <w:rPr>
          <w:rFonts w:hint="eastAsia" w:ascii="微软雅黑" w:hAnsi="微软雅黑" w:eastAsia="微软雅黑" w:cs="微软雅黑"/>
          <w:color w:val="C00000"/>
          <w:sz w:val="24"/>
          <w:szCs w:val="32"/>
          <w:lang w:val="en-US" w:eastAsia="zh-CN"/>
        </w:rPr>
        <w:t>红色</w:t>
      </w: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，说明此教材为</w:t>
      </w:r>
      <w:r>
        <w:rPr>
          <w:rFonts w:hint="eastAsia" w:ascii="微软雅黑" w:hAnsi="微软雅黑" w:eastAsia="微软雅黑" w:cs="微软雅黑"/>
          <w:color w:val="C00000"/>
          <w:sz w:val="24"/>
          <w:szCs w:val="32"/>
          <w:lang w:val="en-US" w:eastAsia="zh-CN"/>
        </w:rPr>
        <w:t>非优秀教材</w:t>
      </w: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（3）选定班级为</w:t>
      </w:r>
      <w:r>
        <w:rPr>
          <w:rFonts w:hint="eastAsia" w:ascii="微软雅黑" w:hAnsi="微软雅黑" w:eastAsia="微软雅黑" w:cs="微软雅黑"/>
          <w:color w:val="C00000"/>
          <w:sz w:val="24"/>
          <w:szCs w:val="32"/>
          <w:lang w:val="en-US" w:eastAsia="zh-CN"/>
        </w:rPr>
        <w:t>红色</w:t>
      </w: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，说明</w:t>
      </w:r>
      <w:r>
        <w:rPr>
          <w:rFonts w:hint="eastAsia" w:ascii="微软雅黑" w:hAnsi="微软雅黑" w:eastAsia="微软雅黑" w:cs="微软雅黑"/>
          <w:color w:val="C00000"/>
          <w:sz w:val="24"/>
          <w:szCs w:val="32"/>
          <w:lang w:val="en-US" w:eastAsia="zh-CN"/>
        </w:rPr>
        <w:t>教师最终选定的上课班级比课程计划中的班级多，即教师增加了选定班级</w:t>
      </w: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（4）原始班级为</w:t>
      </w:r>
      <w:r>
        <w:rPr>
          <w:rFonts w:hint="eastAsia" w:ascii="微软雅黑" w:hAnsi="微软雅黑" w:eastAsia="微软雅黑" w:cs="微软雅黑"/>
          <w:color w:val="C00000"/>
          <w:sz w:val="24"/>
          <w:szCs w:val="32"/>
          <w:lang w:val="en-US" w:eastAsia="zh-CN"/>
        </w:rPr>
        <w:t>红色</w:t>
      </w: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，说</w:t>
      </w:r>
      <w:r>
        <w:rPr>
          <w:rFonts w:hint="eastAsia" w:ascii="微软雅黑" w:hAnsi="微软雅黑" w:eastAsia="微软雅黑" w:cs="微软雅黑"/>
          <w:color w:val="C00000"/>
          <w:sz w:val="24"/>
          <w:szCs w:val="32"/>
          <w:lang w:val="en-US" w:eastAsia="zh-CN"/>
        </w:rPr>
        <w:t>明课程计划中的班级比选定的上课班级多，即教师删除了原始班级</w:t>
      </w: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（5）在教师和学生选书开关关闭后，教师与课程可以进行修改关联关系。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（6）院系（教研室）账号没有权利删除已导入的课程，如缺失课程信息，可手动自主添加。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2、审核通过</w:t>
      </w:r>
      <w:bookmarkStart w:id="1" w:name="_GoBack"/>
      <w:bookmarkEnd w:id="1"/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教材管理→教材审核→选中课程→点击“审核”按钮→确定→审核通过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1610" cy="2346960"/>
            <wp:effectExtent l="0" t="0" r="1524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3、教材指定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（1）搜索课程→选中→指定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5266690" cy="2586990"/>
            <wp:effectExtent l="0" t="0" r="10160" b="381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8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（2）搜索教材→选用（如果未搜索到教材，请先使用“添加教材”按钮，添加完成之后，在搜索教材）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8595" cy="2579370"/>
            <wp:effectExtent l="0" t="0" r="8255" b="1143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选择教师用书数量→自主买书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（必买教材是针对2C学校，强制学生购买两课教材等）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150" cy="2461895"/>
            <wp:effectExtent l="0" t="0" r="12700" b="1460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4、教材替换（驳回）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教材审核→操作→替换（驳回），对于不符合学校规定的课程教材，可以驳回操作。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150" cy="2397125"/>
            <wp:effectExtent l="0" t="0" r="12700" b="317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9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0340" cy="2534285"/>
            <wp:effectExtent l="0" t="0" r="16510" b="1841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53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4"/>
        </w:numPr>
        <w:ind w:leftChars="0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管理员将课程分配（更改）教研室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①在教务管理——教研室管理中，新增教研室。（如果在基础数据中已有教研室信息，可省略此步骤）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3675" cy="2376805"/>
            <wp:effectExtent l="0" t="0" r="3175" b="444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7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②在课程管理中修改关联教研室。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4150" cy="2558415"/>
            <wp:effectExtent l="0" t="0" r="12700" b="1333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E2DDF2"/>
    <w:multiLevelType w:val="singleLevel"/>
    <w:tmpl w:val="92E2DDF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3F0AFE7"/>
    <w:multiLevelType w:val="singleLevel"/>
    <w:tmpl w:val="B3F0AFE7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FFD64CB9"/>
    <w:multiLevelType w:val="singleLevel"/>
    <w:tmpl w:val="FFD64CB9"/>
    <w:lvl w:ilvl="0" w:tentative="0">
      <w:start w:val="3"/>
      <w:numFmt w:val="decimal"/>
      <w:suff w:val="nothing"/>
      <w:lvlText w:val="（%1）"/>
      <w:lvlJc w:val="left"/>
    </w:lvl>
  </w:abstractNum>
  <w:abstractNum w:abstractNumId="3">
    <w:nsid w:val="08E48DE5"/>
    <w:multiLevelType w:val="singleLevel"/>
    <w:tmpl w:val="08E48D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A4AE9"/>
    <w:rsid w:val="078A0BF1"/>
    <w:rsid w:val="0929428A"/>
    <w:rsid w:val="09742136"/>
    <w:rsid w:val="11A136E1"/>
    <w:rsid w:val="143E0BEB"/>
    <w:rsid w:val="197E0AAA"/>
    <w:rsid w:val="1C9C325E"/>
    <w:rsid w:val="231807AB"/>
    <w:rsid w:val="268C002C"/>
    <w:rsid w:val="3BFA4AE9"/>
    <w:rsid w:val="4FCB21D5"/>
    <w:rsid w:val="73A8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2018-11-19T02:32:00Z</dcterms:created>
  <dc:creator>湿湿葛葛</dc:creator>
  <cp:lastModifiedBy>Administrator</cp:lastModifiedBy>
  <dcterms:modified xsi:type="dcterms:W3CDTF">2019-05-08T05:37:47Z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